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703"/>
        <w:gridCol w:w="2458"/>
        <w:gridCol w:w="4772"/>
        <w:gridCol w:w="6061"/>
      </w:tblGrid>
      <w:tr w:rsidR="00306DA6" w:rsidRPr="00306DA6" w14:paraId="678A11C1" w14:textId="77777777" w:rsidTr="0084586F">
        <w:tc>
          <w:tcPr>
            <w:tcW w:w="703" w:type="dxa"/>
          </w:tcPr>
          <w:p w14:paraId="30360879" w14:textId="77777777" w:rsidR="00306DA6" w:rsidRPr="00306DA6" w:rsidRDefault="00306DA6">
            <w:pPr>
              <w:rPr>
                <w:rFonts w:ascii="Tahoma" w:hAnsi="Tahoma" w:cs="Tahoma"/>
                <w:sz w:val="20"/>
                <w:szCs w:val="20"/>
              </w:rPr>
            </w:pPr>
            <w:r>
              <w:rPr>
                <w:rFonts w:ascii="Tahoma" w:hAnsi="Tahoma" w:cs="Tahoma"/>
                <w:sz w:val="20"/>
                <w:szCs w:val="20"/>
              </w:rPr>
              <w:t xml:space="preserve">Nr. </w:t>
            </w:r>
          </w:p>
        </w:tc>
        <w:tc>
          <w:tcPr>
            <w:tcW w:w="2458" w:type="dxa"/>
          </w:tcPr>
          <w:p w14:paraId="23EFCD52" w14:textId="77777777" w:rsidR="00306DA6" w:rsidRPr="00306DA6" w:rsidRDefault="00306DA6">
            <w:pPr>
              <w:rPr>
                <w:rFonts w:ascii="Tahoma" w:hAnsi="Tahoma" w:cs="Tahoma"/>
                <w:sz w:val="20"/>
                <w:szCs w:val="20"/>
              </w:rPr>
            </w:pPr>
            <w:r>
              <w:rPr>
                <w:rFonts w:ascii="Tahoma" w:hAnsi="Tahoma" w:cs="Tahoma"/>
                <w:sz w:val="20"/>
                <w:szCs w:val="20"/>
              </w:rPr>
              <w:t>Hoofdstuk</w:t>
            </w:r>
          </w:p>
        </w:tc>
        <w:tc>
          <w:tcPr>
            <w:tcW w:w="4772" w:type="dxa"/>
          </w:tcPr>
          <w:p w14:paraId="41A48194" w14:textId="77777777" w:rsidR="00306DA6" w:rsidRPr="00306DA6" w:rsidRDefault="00306DA6">
            <w:pPr>
              <w:rPr>
                <w:rFonts w:ascii="Tahoma" w:hAnsi="Tahoma" w:cs="Tahoma"/>
                <w:sz w:val="20"/>
                <w:szCs w:val="20"/>
              </w:rPr>
            </w:pPr>
            <w:r>
              <w:rPr>
                <w:rFonts w:ascii="Tahoma" w:hAnsi="Tahoma" w:cs="Tahoma"/>
                <w:sz w:val="20"/>
                <w:szCs w:val="20"/>
              </w:rPr>
              <w:t>Reactie Adviesraad</w:t>
            </w:r>
          </w:p>
        </w:tc>
        <w:tc>
          <w:tcPr>
            <w:tcW w:w="6061" w:type="dxa"/>
          </w:tcPr>
          <w:p w14:paraId="5F0BECD8" w14:textId="77777777" w:rsidR="00306DA6" w:rsidRPr="00306DA6" w:rsidRDefault="00306DA6" w:rsidP="00306DA6">
            <w:pPr>
              <w:rPr>
                <w:rFonts w:ascii="Tahoma" w:hAnsi="Tahoma" w:cs="Tahoma"/>
                <w:sz w:val="20"/>
                <w:szCs w:val="20"/>
              </w:rPr>
            </w:pPr>
            <w:r>
              <w:rPr>
                <w:rFonts w:ascii="Tahoma" w:hAnsi="Tahoma" w:cs="Tahoma"/>
                <w:sz w:val="20"/>
                <w:szCs w:val="20"/>
              </w:rPr>
              <w:t>Reactie College</w:t>
            </w:r>
          </w:p>
        </w:tc>
      </w:tr>
      <w:tr w:rsidR="00F060CE" w:rsidRPr="00306DA6" w14:paraId="492BDC5F" w14:textId="77777777" w:rsidTr="0084586F">
        <w:tc>
          <w:tcPr>
            <w:tcW w:w="703" w:type="dxa"/>
          </w:tcPr>
          <w:p w14:paraId="36D7F98C" w14:textId="77777777" w:rsidR="00F060CE" w:rsidRPr="00B92623" w:rsidRDefault="00F060CE">
            <w:pPr>
              <w:rPr>
                <w:rFonts w:ascii="Tahoma" w:hAnsi="Tahoma" w:cs="Tahoma"/>
                <w:b/>
                <w:sz w:val="20"/>
                <w:szCs w:val="20"/>
              </w:rPr>
            </w:pPr>
          </w:p>
        </w:tc>
        <w:tc>
          <w:tcPr>
            <w:tcW w:w="2458" w:type="dxa"/>
          </w:tcPr>
          <w:p w14:paraId="168D40EF" w14:textId="6AFAAB7C" w:rsidR="00F060CE" w:rsidRPr="00B92623" w:rsidRDefault="00330C63">
            <w:pPr>
              <w:rPr>
                <w:rFonts w:ascii="Tahoma" w:hAnsi="Tahoma" w:cs="Tahoma"/>
                <w:b/>
                <w:sz w:val="20"/>
                <w:szCs w:val="20"/>
              </w:rPr>
            </w:pPr>
            <w:r>
              <w:rPr>
                <w:rFonts w:ascii="Tahoma" w:hAnsi="Tahoma" w:cs="Tahoma"/>
                <w:b/>
                <w:sz w:val="20"/>
                <w:szCs w:val="20"/>
              </w:rPr>
              <w:t>Algemeen</w:t>
            </w:r>
          </w:p>
        </w:tc>
        <w:tc>
          <w:tcPr>
            <w:tcW w:w="4772" w:type="dxa"/>
          </w:tcPr>
          <w:p w14:paraId="4400D8D5" w14:textId="77777777" w:rsidR="00F060CE" w:rsidRDefault="00F060CE">
            <w:pPr>
              <w:rPr>
                <w:rFonts w:ascii="Tahoma" w:hAnsi="Tahoma" w:cs="Tahoma"/>
                <w:sz w:val="20"/>
                <w:szCs w:val="20"/>
              </w:rPr>
            </w:pPr>
          </w:p>
        </w:tc>
        <w:tc>
          <w:tcPr>
            <w:tcW w:w="6061" w:type="dxa"/>
          </w:tcPr>
          <w:p w14:paraId="6F8B2C35" w14:textId="77777777" w:rsidR="00F060CE" w:rsidRDefault="00F060CE" w:rsidP="00306DA6">
            <w:pPr>
              <w:rPr>
                <w:rFonts w:ascii="Tahoma" w:hAnsi="Tahoma" w:cs="Tahoma"/>
                <w:sz w:val="20"/>
                <w:szCs w:val="20"/>
              </w:rPr>
            </w:pPr>
          </w:p>
        </w:tc>
      </w:tr>
      <w:tr w:rsidR="00306DA6" w:rsidRPr="00306DA6" w14:paraId="037ED6E5" w14:textId="77777777" w:rsidTr="0084586F">
        <w:tc>
          <w:tcPr>
            <w:tcW w:w="703" w:type="dxa"/>
          </w:tcPr>
          <w:p w14:paraId="32B210BD" w14:textId="56C38087" w:rsidR="00306DA6" w:rsidRDefault="00306DA6">
            <w:pPr>
              <w:rPr>
                <w:rFonts w:ascii="Tahoma" w:hAnsi="Tahoma" w:cs="Tahoma"/>
                <w:sz w:val="20"/>
                <w:szCs w:val="20"/>
              </w:rPr>
            </w:pPr>
            <w:r>
              <w:rPr>
                <w:rFonts w:ascii="Tahoma" w:hAnsi="Tahoma" w:cs="Tahoma"/>
                <w:sz w:val="20"/>
                <w:szCs w:val="20"/>
              </w:rPr>
              <w:t>1</w:t>
            </w:r>
          </w:p>
        </w:tc>
        <w:tc>
          <w:tcPr>
            <w:tcW w:w="2458" w:type="dxa"/>
          </w:tcPr>
          <w:p w14:paraId="7438EF89" w14:textId="45A0BC54" w:rsidR="00306DA6" w:rsidRPr="00B92623" w:rsidRDefault="00306DA6">
            <w:pPr>
              <w:rPr>
                <w:rFonts w:ascii="Tahoma" w:hAnsi="Tahoma" w:cs="Tahoma"/>
                <w:b/>
                <w:sz w:val="20"/>
                <w:szCs w:val="20"/>
              </w:rPr>
            </w:pPr>
          </w:p>
        </w:tc>
        <w:tc>
          <w:tcPr>
            <w:tcW w:w="4772" w:type="dxa"/>
          </w:tcPr>
          <w:p w14:paraId="474A428C" w14:textId="23258156" w:rsidR="00306DA6" w:rsidRDefault="00330C63">
            <w:pPr>
              <w:rPr>
                <w:rFonts w:ascii="Tahoma" w:hAnsi="Tahoma" w:cs="Tahoma"/>
                <w:sz w:val="20"/>
                <w:szCs w:val="20"/>
              </w:rPr>
            </w:pPr>
            <w:r>
              <w:rPr>
                <w:rFonts w:ascii="Tahoma" w:hAnsi="Tahoma" w:cs="Tahoma"/>
                <w:sz w:val="20"/>
                <w:szCs w:val="20"/>
              </w:rPr>
              <w:t>Heeft er een evaluatie plaatsgevonden?</w:t>
            </w:r>
          </w:p>
        </w:tc>
        <w:tc>
          <w:tcPr>
            <w:tcW w:w="6061" w:type="dxa"/>
          </w:tcPr>
          <w:p w14:paraId="06E7BE5E" w14:textId="614121D6" w:rsidR="00306DA6" w:rsidRDefault="00330C63" w:rsidP="00306DA6">
            <w:pPr>
              <w:rPr>
                <w:rFonts w:ascii="Tahoma" w:hAnsi="Tahoma" w:cs="Tahoma"/>
                <w:sz w:val="20"/>
                <w:szCs w:val="20"/>
              </w:rPr>
            </w:pPr>
            <w:r>
              <w:rPr>
                <w:rFonts w:ascii="Tahoma" w:hAnsi="Tahoma" w:cs="Tahoma"/>
                <w:sz w:val="20"/>
                <w:szCs w:val="20"/>
              </w:rPr>
              <w:t xml:space="preserve">Ja, er is een </w:t>
            </w:r>
            <w:r w:rsidR="0063220F">
              <w:rPr>
                <w:rFonts w:ascii="Tahoma" w:hAnsi="Tahoma" w:cs="Tahoma"/>
                <w:sz w:val="20"/>
                <w:szCs w:val="20"/>
              </w:rPr>
              <w:t>Quick scan</w:t>
            </w:r>
            <w:r>
              <w:rPr>
                <w:rFonts w:ascii="Tahoma" w:hAnsi="Tahoma" w:cs="Tahoma"/>
                <w:sz w:val="20"/>
                <w:szCs w:val="20"/>
              </w:rPr>
              <w:t xml:space="preserve"> opgesteld</w:t>
            </w:r>
            <w:r w:rsidR="0063220F">
              <w:rPr>
                <w:rFonts w:ascii="Tahoma" w:hAnsi="Tahoma" w:cs="Tahoma"/>
                <w:sz w:val="20"/>
                <w:szCs w:val="20"/>
              </w:rPr>
              <w:t xml:space="preserve">, </w:t>
            </w:r>
            <w:r>
              <w:rPr>
                <w:rFonts w:ascii="Tahoma" w:hAnsi="Tahoma" w:cs="Tahoma"/>
                <w:sz w:val="20"/>
                <w:szCs w:val="20"/>
              </w:rPr>
              <w:t xml:space="preserve">deze </w:t>
            </w:r>
            <w:r w:rsidR="00047408">
              <w:rPr>
                <w:rFonts w:ascii="Tahoma" w:hAnsi="Tahoma" w:cs="Tahoma"/>
                <w:sz w:val="20"/>
                <w:szCs w:val="20"/>
              </w:rPr>
              <w:t>zenden wij mee met deze reactienota.</w:t>
            </w:r>
          </w:p>
        </w:tc>
      </w:tr>
      <w:tr w:rsidR="009F65C0" w:rsidRPr="00306DA6" w14:paraId="67BB060D" w14:textId="77777777" w:rsidTr="0084586F">
        <w:tc>
          <w:tcPr>
            <w:tcW w:w="703" w:type="dxa"/>
          </w:tcPr>
          <w:p w14:paraId="3406D241" w14:textId="18D1A867" w:rsidR="009F65C0" w:rsidRDefault="00330C63">
            <w:pPr>
              <w:rPr>
                <w:rFonts w:ascii="Tahoma" w:hAnsi="Tahoma" w:cs="Tahoma"/>
                <w:sz w:val="20"/>
                <w:szCs w:val="20"/>
              </w:rPr>
            </w:pPr>
            <w:r>
              <w:rPr>
                <w:rFonts w:ascii="Tahoma" w:hAnsi="Tahoma" w:cs="Tahoma"/>
                <w:sz w:val="20"/>
                <w:szCs w:val="20"/>
              </w:rPr>
              <w:t>2.</w:t>
            </w:r>
          </w:p>
        </w:tc>
        <w:tc>
          <w:tcPr>
            <w:tcW w:w="2458" w:type="dxa"/>
          </w:tcPr>
          <w:p w14:paraId="04BCD0E6" w14:textId="77777777" w:rsidR="009F65C0" w:rsidRDefault="009F65C0">
            <w:pPr>
              <w:rPr>
                <w:rFonts w:ascii="Tahoma" w:hAnsi="Tahoma" w:cs="Tahoma"/>
                <w:sz w:val="20"/>
                <w:szCs w:val="20"/>
              </w:rPr>
            </w:pPr>
          </w:p>
        </w:tc>
        <w:tc>
          <w:tcPr>
            <w:tcW w:w="4772" w:type="dxa"/>
          </w:tcPr>
          <w:p w14:paraId="5AA6AD64" w14:textId="2A85CAB8" w:rsidR="009F65C0" w:rsidRDefault="009F65C0">
            <w:pPr>
              <w:rPr>
                <w:rFonts w:ascii="Tahoma" w:hAnsi="Tahoma" w:cs="Tahoma"/>
                <w:sz w:val="20"/>
                <w:szCs w:val="20"/>
              </w:rPr>
            </w:pPr>
            <w:r>
              <w:rPr>
                <w:rFonts w:ascii="Tahoma" w:hAnsi="Tahoma" w:cs="Tahoma"/>
                <w:sz w:val="20"/>
                <w:szCs w:val="20"/>
              </w:rPr>
              <w:t>K</w:t>
            </w:r>
            <w:r w:rsidR="00330C63">
              <w:rPr>
                <w:rFonts w:ascii="Tahoma" w:hAnsi="Tahoma" w:cs="Tahoma"/>
                <w:sz w:val="20"/>
                <w:szCs w:val="20"/>
              </w:rPr>
              <w:t>an er een verklarende woordenlijst worden toegevoegd?</w:t>
            </w:r>
          </w:p>
        </w:tc>
        <w:tc>
          <w:tcPr>
            <w:tcW w:w="6061" w:type="dxa"/>
          </w:tcPr>
          <w:p w14:paraId="4756CB1E" w14:textId="470A0D47" w:rsidR="009F65C0" w:rsidRDefault="00330C63" w:rsidP="00306DA6">
            <w:pPr>
              <w:rPr>
                <w:rFonts w:ascii="Tahoma" w:hAnsi="Tahoma" w:cs="Tahoma"/>
                <w:sz w:val="20"/>
                <w:szCs w:val="20"/>
              </w:rPr>
            </w:pPr>
            <w:r w:rsidRPr="009D194D">
              <w:rPr>
                <w:rFonts w:ascii="Tahoma" w:hAnsi="Tahoma" w:cs="Tahoma"/>
                <w:sz w:val="20"/>
                <w:szCs w:val="20"/>
              </w:rPr>
              <w:t>Deze woordenlijst is toegevoegd.</w:t>
            </w:r>
            <w:r w:rsidR="00A3766D">
              <w:rPr>
                <w:rFonts w:ascii="Tahoma" w:hAnsi="Tahoma" w:cs="Tahoma"/>
                <w:sz w:val="20"/>
                <w:szCs w:val="20"/>
              </w:rPr>
              <w:t xml:space="preserve"> </w:t>
            </w:r>
          </w:p>
        </w:tc>
      </w:tr>
      <w:tr w:rsidR="009F65C0" w:rsidRPr="00306DA6" w14:paraId="2C300D0F" w14:textId="77777777" w:rsidTr="0084586F">
        <w:tc>
          <w:tcPr>
            <w:tcW w:w="703" w:type="dxa"/>
          </w:tcPr>
          <w:p w14:paraId="0CE41DDB" w14:textId="5212550B" w:rsidR="009F65C0" w:rsidRDefault="009F65C0">
            <w:pPr>
              <w:rPr>
                <w:rFonts w:ascii="Tahoma" w:hAnsi="Tahoma" w:cs="Tahoma"/>
                <w:sz w:val="20"/>
                <w:szCs w:val="20"/>
              </w:rPr>
            </w:pPr>
          </w:p>
        </w:tc>
        <w:tc>
          <w:tcPr>
            <w:tcW w:w="2458" w:type="dxa"/>
          </w:tcPr>
          <w:p w14:paraId="265A1B13" w14:textId="3FE8885B" w:rsidR="009F65C0" w:rsidRDefault="00330C63">
            <w:pPr>
              <w:rPr>
                <w:rFonts w:ascii="Tahoma" w:hAnsi="Tahoma" w:cs="Tahoma"/>
                <w:sz w:val="20"/>
                <w:szCs w:val="20"/>
              </w:rPr>
            </w:pPr>
            <w:r w:rsidRPr="00330C63">
              <w:rPr>
                <w:rFonts w:ascii="Tahoma" w:hAnsi="Tahoma" w:cs="Tahoma"/>
                <w:b/>
                <w:bCs/>
                <w:sz w:val="20"/>
                <w:szCs w:val="20"/>
              </w:rPr>
              <w:t>Inhoudelijk</w:t>
            </w:r>
          </w:p>
        </w:tc>
        <w:tc>
          <w:tcPr>
            <w:tcW w:w="4772" w:type="dxa"/>
          </w:tcPr>
          <w:p w14:paraId="69CD6A70" w14:textId="6F686491" w:rsidR="009F65C0" w:rsidRDefault="009F65C0">
            <w:pPr>
              <w:rPr>
                <w:rFonts w:ascii="Tahoma" w:hAnsi="Tahoma" w:cs="Tahoma"/>
                <w:sz w:val="20"/>
                <w:szCs w:val="20"/>
              </w:rPr>
            </w:pPr>
          </w:p>
        </w:tc>
        <w:tc>
          <w:tcPr>
            <w:tcW w:w="6061" w:type="dxa"/>
          </w:tcPr>
          <w:p w14:paraId="08792FEB" w14:textId="112AFDD4" w:rsidR="00A71653" w:rsidRDefault="00A71653" w:rsidP="00306DA6">
            <w:pPr>
              <w:rPr>
                <w:rFonts w:ascii="Tahoma" w:hAnsi="Tahoma" w:cs="Tahoma"/>
                <w:sz w:val="20"/>
                <w:szCs w:val="20"/>
              </w:rPr>
            </w:pPr>
          </w:p>
        </w:tc>
      </w:tr>
      <w:tr w:rsidR="00330C63" w:rsidRPr="00306DA6" w14:paraId="0FCA60E9" w14:textId="77777777" w:rsidTr="0084586F">
        <w:tc>
          <w:tcPr>
            <w:tcW w:w="703" w:type="dxa"/>
          </w:tcPr>
          <w:p w14:paraId="4A71C540" w14:textId="081C8460" w:rsidR="00330C63" w:rsidRDefault="00330C63" w:rsidP="00330C63">
            <w:pPr>
              <w:rPr>
                <w:rFonts w:ascii="Tahoma" w:hAnsi="Tahoma" w:cs="Tahoma"/>
                <w:sz w:val="20"/>
                <w:szCs w:val="20"/>
              </w:rPr>
            </w:pPr>
            <w:r>
              <w:rPr>
                <w:rFonts w:ascii="Tahoma" w:hAnsi="Tahoma" w:cs="Tahoma"/>
                <w:sz w:val="20"/>
                <w:szCs w:val="20"/>
              </w:rPr>
              <w:t>1.</w:t>
            </w:r>
          </w:p>
        </w:tc>
        <w:tc>
          <w:tcPr>
            <w:tcW w:w="2458" w:type="dxa"/>
          </w:tcPr>
          <w:p w14:paraId="09A90910" w14:textId="55BCE345" w:rsidR="00330C63" w:rsidRPr="00B92623" w:rsidRDefault="00330C63" w:rsidP="00330C63">
            <w:pPr>
              <w:rPr>
                <w:rFonts w:ascii="Tahoma" w:hAnsi="Tahoma" w:cs="Tahoma"/>
                <w:b/>
                <w:sz w:val="20"/>
                <w:szCs w:val="20"/>
              </w:rPr>
            </w:pPr>
          </w:p>
        </w:tc>
        <w:tc>
          <w:tcPr>
            <w:tcW w:w="4772" w:type="dxa"/>
          </w:tcPr>
          <w:p w14:paraId="34CD5200" w14:textId="6E900E58" w:rsidR="00330C63" w:rsidRDefault="00330C63" w:rsidP="00330C63">
            <w:pPr>
              <w:rPr>
                <w:rFonts w:ascii="Tahoma" w:hAnsi="Tahoma" w:cs="Tahoma"/>
                <w:sz w:val="20"/>
                <w:szCs w:val="20"/>
              </w:rPr>
            </w:pPr>
            <w:r>
              <w:rPr>
                <w:rFonts w:ascii="Tahoma" w:hAnsi="Tahoma" w:cs="Tahoma"/>
                <w:sz w:val="20"/>
                <w:szCs w:val="20"/>
              </w:rPr>
              <w:t>De vrolijke foto op de voorkant sluit niet aan bij de doelgroep.</w:t>
            </w:r>
          </w:p>
        </w:tc>
        <w:tc>
          <w:tcPr>
            <w:tcW w:w="6061" w:type="dxa"/>
          </w:tcPr>
          <w:p w14:paraId="278346C6" w14:textId="045F55B4" w:rsidR="00330C63" w:rsidRDefault="00330C63" w:rsidP="00330C63">
            <w:pPr>
              <w:rPr>
                <w:rFonts w:ascii="Tahoma" w:hAnsi="Tahoma" w:cs="Tahoma"/>
                <w:sz w:val="20"/>
                <w:szCs w:val="20"/>
              </w:rPr>
            </w:pPr>
            <w:r>
              <w:rPr>
                <w:rFonts w:ascii="Tahoma" w:hAnsi="Tahoma" w:cs="Tahoma"/>
                <w:sz w:val="20"/>
                <w:szCs w:val="20"/>
              </w:rPr>
              <w:t xml:space="preserve">De doelgroep omhelst voornamelijk kinderen van 2,5 tot 4 jaar oud, </w:t>
            </w:r>
            <w:r w:rsidR="009D194D">
              <w:rPr>
                <w:rFonts w:ascii="Tahoma" w:hAnsi="Tahoma" w:cs="Tahoma"/>
                <w:sz w:val="20"/>
                <w:szCs w:val="20"/>
              </w:rPr>
              <w:t>voor wie</w:t>
            </w:r>
            <w:r w:rsidR="006B1572">
              <w:rPr>
                <w:rFonts w:ascii="Tahoma" w:hAnsi="Tahoma" w:cs="Tahoma"/>
                <w:sz w:val="20"/>
                <w:szCs w:val="20"/>
              </w:rPr>
              <w:t xml:space="preserve"> wij inzetten, zo</w:t>
            </w:r>
            <w:r w:rsidR="009D194D">
              <w:rPr>
                <w:rFonts w:ascii="Tahoma" w:hAnsi="Tahoma" w:cs="Tahoma"/>
                <w:sz w:val="20"/>
                <w:szCs w:val="20"/>
              </w:rPr>
              <w:t>dat zij</w:t>
            </w:r>
            <w:r>
              <w:rPr>
                <w:rFonts w:ascii="Tahoma" w:hAnsi="Tahoma" w:cs="Tahoma"/>
                <w:sz w:val="20"/>
                <w:szCs w:val="20"/>
              </w:rPr>
              <w:t xml:space="preserve"> hun kwaliteiten ten volle kunnen benutten. </w:t>
            </w:r>
            <w:r w:rsidR="006B1572">
              <w:rPr>
                <w:rFonts w:ascii="Tahoma" w:hAnsi="Tahoma" w:cs="Tahoma"/>
                <w:sz w:val="20"/>
                <w:szCs w:val="20"/>
              </w:rPr>
              <w:t>Met als doel, dat</w:t>
            </w:r>
            <w:r w:rsidR="009D194D">
              <w:rPr>
                <w:rFonts w:ascii="Tahoma" w:hAnsi="Tahoma" w:cs="Tahoma"/>
                <w:sz w:val="20"/>
                <w:szCs w:val="20"/>
              </w:rPr>
              <w:t xml:space="preserve"> alle </w:t>
            </w:r>
            <w:r w:rsidR="006B1572">
              <w:rPr>
                <w:rFonts w:ascii="Tahoma" w:hAnsi="Tahoma" w:cs="Tahoma"/>
                <w:sz w:val="20"/>
                <w:szCs w:val="20"/>
              </w:rPr>
              <w:t xml:space="preserve">kinderen </w:t>
            </w:r>
            <w:r w:rsidR="009D194D">
              <w:rPr>
                <w:rFonts w:ascii="Tahoma" w:hAnsi="Tahoma" w:cs="Tahoma"/>
                <w:sz w:val="20"/>
                <w:szCs w:val="20"/>
              </w:rPr>
              <w:t xml:space="preserve">met dezelfde kansen beginnen aan hun schoolloopbaan. </w:t>
            </w:r>
            <w:r>
              <w:rPr>
                <w:rFonts w:ascii="Tahoma" w:hAnsi="Tahoma" w:cs="Tahoma"/>
                <w:sz w:val="20"/>
                <w:szCs w:val="20"/>
              </w:rPr>
              <w:t>Ons inziens past de foto daar wel bij.</w:t>
            </w:r>
          </w:p>
          <w:p w14:paraId="43CFA3C4" w14:textId="77777777" w:rsidR="00330C63" w:rsidRDefault="00330C63" w:rsidP="00330C63">
            <w:pPr>
              <w:rPr>
                <w:rFonts w:ascii="Tahoma" w:hAnsi="Tahoma" w:cs="Tahoma"/>
                <w:sz w:val="20"/>
                <w:szCs w:val="20"/>
              </w:rPr>
            </w:pPr>
          </w:p>
        </w:tc>
      </w:tr>
      <w:tr w:rsidR="00330C63" w:rsidRPr="00306DA6" w14:paraId="6D7F459E" w14:textId="77777777" w:rsidTr="0084586F">
        <w:tc>
          <w:tcPr>
            <w:tcW w:w="703" w:type="dxa"/>
          </w:tcPr>
          <w:p w14:paraId="69851DE6" w14:textId="5190C4FA" w:rsidR="00330C63" w:rsidRDefault="007C6794" w:rsidP="00330C63">
            <w:pPr>
              <w:rPr>
                <w:rFonts w:ascii="Tahoma" w:hAnsi="Tahoma" w:cs="Tahoma"/>
                <w:sz w:val="20"/>
                <w:szCs w:val="20"/>
              </w:rPr>
            </w:pPr>
            <w:r>
              <w:rPr>
                <w:rFonts w:ascii="Tahoma" w:hAnsi="Tahoma" w:cs="Tahoma"/>
                <w:sz w:val="20"/>
                <w:szCs w:val="20"/>
              </w:rPr>
              <w:t>2.</w:t>
            </w:r>
          </w:p>
        </w:tc>
        <w:tc>
          <w:tcPr>
            <w:tcW w:w="2458" w:type="dxa"/>
          </w:tcPr>
          <w:p w14:paraId="32D8F153" w14:textId="77777777" w:rsidR="00330C63" w:rsidRDefault="00330C63" w:rsidP="00330C63">
            <w:pPr>
              <w:rPr>
                <w:rFonts w:ascii="Tahoma" w:hAnsi="Tahoma" w:cs="Tahoma"/>
                <w:sz w:val="20"/>
                <w:szCs w:val="20"/>
              </w:rPr>
            </w:pPr>
          </w:p>
        </w:tc>
        <w:tc>
          <w:tcPr>
            <w:tcW w:w="4772" w:type="dxa"/>
          </w:tcPr>
          <w:p w14:paraId="47AEBECA" w14:textId="5BDAE2AB" w:rsidR="00330C63" w:rsidRDefault="007C6794" w:rsidP="00330C63">
            <w:pPr>
              <w:rPr>
                <w:rFonts w:ascii="Tahoma" w:hAnsi="Tahoma" w:cs="Tahoma"/>
                <w:sz w:val="20"/>
                <w:szCs w:val="20"/>
              </w:rPr>
            </w:pPr>
            <w:r>
              <w:rPr>
                <w:rFonts w:ascii="Tahoma" w:hAnsi="Tahoma" w:cs="Tahoma"/>
                <w:sz w:val="20"/>
                <w:szCs w:val="20"/>
              </w:rPr>
              <w:t>Formuleer ook onderwijsachterstandenbeleid voor kinderen met een fysieke of (licht) verstandelijke beperking.</w:t>
            </w:r>
          </w:p>
        </w:tc>
        <w:tc>
          <w:tcPr>
            <w:tcW w:w="6061" w:type="dxa"/>
          </w:tcPr>
          <w:p w14:paraId="74464C2C" w14:textId="5EC04D11" w:rsidR="00330C63" w:rsidRDefault="006B1572" w:rsidP="00330C63">
            <w:pPr>
              <w:rPr>
                <w:rFonts w:ascii="Tahoma" w:hAnsi="Tahoma" w:cs="Tahoma"/>
                <w:sz w:val="20"/>
                <w:szCs w:val="20"/>
              </w:rPr>
            </w:pPr>
            <w:r>
              <w:rPr>
                <w:rFonts w:ascii="Tahoma" w:hAnsi="Tahoma" w:cs="Tahoma"/>
                <w:sz w:val="20"/>
                <w:szCs w:val="20"/>
              </w:rPr>
              <w:t xml:space="preserve">De doelgroep voor onderwijsachterstandenbeleid is op basis van de </w:t>
            </w:r>
            <w:proofErr w:type="spellStart"/>
            <w:r>
              <w:rPr>
                <w:rFonts w:ascii="Tahoma" w:hAnsi="Tahoma" w:cs="Tahoma"/>
                <w:sz w:val="20"/>
                <w:szCs w:val="20"/>
              </w:rPr>
              <w:t>doelgroepbepaling</w:t>
            </w:r>
            <w:proofErr w:type="spellEnd"/>
            <w:r>
              <w:rPr>
                <w:rFonts w:ascii="Tahoma" w:hAnsi="Tahoma" w:cs="Tahoma"/>
                <w:sz w:val="20"/>
                <w:szCs w:val="20"/>
              </w:rPr>
              <w:t xml:space="preserve"> vanuit het Rijk scherp afgebakend. Het betreft kinderen die kans hebben op een taal- of ontwikkelingsachterstand door factoren in hun omgeving, dus niet ten gevolge van eigen </w:t>
            </w:r>
            <w:proofErr w:type="spellStart"/>
            <w:r>
              <w:rPr>
                <w:rFonts w:ascii="Tahoma" w:hAnsi="Tahoma" w:cs="Tahoma"/>
                <w:sz w:val="20"/>
                <w:szCs w:val="20"/>
              </w:rPr>
              <w:t>kindkenmerken</w:t>
            </w:r>
            <w:proofErr w:type="spellEnd"/>
            <w:r>
              <w:rPr>
                <w:rFonts w:ascii="Tahoma" w:hAnsi="Tahoma" w:cs="Tahoma"/>
                <w:sz w:val="20"/>
                <w:szCs w:val="20"/>
              </w:rPr>
              <w:t xml:space="preserve">. </w:t>
            </w:r>
            <w:r w:rsidR="007C6794">
              <w:rPr>
                <w:rFonts w:ascii="Tahoma" w:hAnsi="Tahoma" w:cs="Tahoma"/>
                <w:sz w:val="20"/>
                <w:szCs w:val="20"/>
              </w:rPr>
              <w:t xml:space="preserve">Een taalachterstand bij kinderen met fysieke of (licht) verstandelijke beperking valt </w:t>
            </w:r>
            <w:r>
              <w:rPr>
                <w:rFonts w:ascii="Tahoma" w:hAnsi="Tahoma" w:cs="Tahoma"/>
                <w:sz w:val="20"/>
                <w:szCs w:val="20"/>
              </w:rPr>
              <w:t xml:space="preserve">daarmee </w:t>
            </w:r>
            <w:r w:rsidR="007C6794">
              <w:rPr>
                <w:rFonts w:ascii="Tahoma" w:hAnsi="Tahoma" w:cs="Tahoma"/>
                <w:sz w:val="20"/>
                <w:szCs w:val="20"/>
              </w:rPr>
              <w:t xml:space="preserve">buiten de </w:t>
            </w:r>
            <w:r>
              <w:rPr>
                <w:rFonts w:ascii="Tahoma" w:hAnsi="Tahoma" w:cs="Tahoma"/>
                <w:sz w:val="20"/>
                <w:szCs w:val="20"/>
              </w:rPr>
              <w:t>reikwijdte</w:t>
            </w:r>
            <w:r w:rsidR="007C6794">
              <w:rPr>
                <w:rFonts w:ascii="Tahoma" w:hAnsi="Tahoma" w:cs="Tahoma"/>
                <w:sz w:val="20"/>
                <w:szCs w:val="20"/>
              </w:rPr>
              <w:t xml:space="preserve"> van deze beleidsnota. Deze doelgroep valt onder het</w:t>
            </w:r>
            <w:r>
              <w:rPr>
                <w:rFonts w:ascii="Tahoma" w:hAnsi="Tahoma" w:cs="Tahoma"/>
                <w:sz w:val="20"/>
                <w:szCs w:val="20"/>
              </w:rPr>
              <w:t xml:space="preserve"> bredere</w:t>
            </w:r>
            <w:r w:rsidR="007C6794">
              <w:rPr>
                <w:rFonts w:ascii="Tahoma" w:hAnsi="Tahoma" w:cs="Tahoma"/>
                <w:sz w:val="20"/>
                <w:szCs w:val="20"/>
              </w:rPr>
              <w:t xml:space="preserve"> jeugdbeleid.</w:t>
            </w:r>
          </w:p>
          <w:p w14:paraId="15DA29B8" w14:textId="473B520F" w:rsidR="00330C63" w:rsidRDefault="00330C63" w:rsidP="00330C63">
            <w:pPr>
              <w:rPr>
                <w:rFonts w:ascii="Tahoma" w:hAnsi="Tahoma" w:cs="Tahoma"/>
                <w:sz w:val="20"/>
                <w:szCs w:val="20"/>
              </w:rPr>
            </w:pPr>
          </w:p>
        </w:tc>
      </w:tr>
      <w:tr w:rsidR="00330C63" w:rsidRPr="00306DA6" w14:paraId="2B255449" w14:textId="77777777" w:rsidTr="0084586F">
        <w:tc>
          <w:tcPr>
            <w:tcW w:w="703" w:type="dxa"/>
          </w:tcPr>
          <w:p w14:paraId="469EAD11" w14:textId="52BBF790" w:rsidR="00330C63" w:rsidRDefault="007C6794" w:rsidP="00330C63">
            <w:pPr>
              <w:rPr>
                <w:rFonts w:ascii="Tahoma" w:hAnsi="Tahoma" w:cs="Tahoma"/>
                <w:sz w:val="20"/>
                <w:szCs w:val="20"/>
              </w:rPr>
            </w:pPr>
            <w:r>
              <w:rPr>
                <w:rFonts w:ascii="Tahoma" w:hAnsi="Tahoma" w:cs="Tahoma"/>
                <w:sz w:val="20"/>
                <w:szCs w:val="20"/>
              </w:rPr>
              <w:t>3.</w:t>
            </w:r>
          </w:p>
        </w:tc>
        <w:tc>
          <w:tcPr>
            <w:tcW w:w="2458" w:type="dxa"/>
          </w:tcPr>
          <w:p w14:paraId="506249F4" w14:textId="757419D1" w:rsidR="00330C63" w:rsidRPr="00B92623" w:rsidRDefault="00330C63" w:rsidP="00330C63">
            <w:pPr>
              <w:rPr>
                <w:rFonts w:ascii="Tahoma" w:hAnsi="Tahoma" w:cs="Tahoma"/>
                <w:b/>
                <w:sz w:val="18"/>
                <w:szCs w:val="18"/>
              </w:rPr>
            </w:pPr>
          </w:p>
        </w:tc>
        <w:tc>
          <w:tcPr>
            <w:tcW w:w="4772" w:type="dxa"/>
          </w:tcPr>
          <w:p w14:paraId="65BBFB3E" w14:textId="616F036E" w:rsidR="00330C63" w:rsidRDefault="007C6794" w:rsidP="00330C63">
            <w:pPr>
              <w:rPr>
                <w:rFonts w:ascii="Tahoma" w:hAnsi="Tahoma" w:cs="Tahoma"/>
                <w:sz w:val="20"/>
                <w:szCs w:val="20"/>
              </w:rPr>
            </w:pPr>
            <w:r>
              <w:rPr>
                <w:rFonts w:ascii="Tahoma" w:hAnsi="Tahoma" w:cs="Tahoma"/>
                <w:sz w:val="20"/>
                <w:szCs w:val="20"/>
              </w:rPr>
              <w:t>Zij de maatschappelijke partners betrokken bij de opstelling van deze nota?</w:t>
            </w:r>
          </w:p>
        </w:tc>
        <w:tc>
          <w:tcPr>
            <w:tcW w:w="6061" w:type="dxa"/>
          </w:tcPr>
          <w:p w14:paraId="2293CF7B" w14:textId="39A61CF0" w:rsidR="00330C63" w:rsidRDefault="007C6794" w:rsidP="00330C63">
            <w:pPr>
              <w:rPr>
                <w:rFonts w:ascii="Tahoma" w:hAnsi="Tahoma" w:cs="Tahoma"/>
                <w:sz w:val="20"/>
                <w:szCs w:val="20"/>
              </w:rPr>
            </w:pPr>
            <w:r>
              <w:rPr>
                <w:rFonts w:ascii="Tahoma" w:hAnsi="Tahoma" w:cs="Tahoma"/>
                <w:sz w:val="20"/>
                <w:szCs w:val="20"/>
              </w:rPr>
              <w:t xml:space="preserve">De </w:t>
            </w:r>
            <w:r w:rsidR="0084586F">
              <w:rPr>
                <w:rFonts w:ascii="Tahoma" w:hAnsi="Tahoma" w:cs="Tahoma"/>
                <w:sz w:val="20"/>
                <w:szCs w:val="20"/>
              </w:rPr>
              <w:t>voorliggende concept</w:t>
            </w:r>
            <w:r>
              <w:rPr>
                <w:rFonts w:ascii="Tahoma" w:hAnsi="Tahoma" w:cs="Tahoma"/>
                <w:sz w:val="20"/>
                <w:szCs w:val="20"/>
              </w:rPr>
              <w:t xml:space="preserve">nota betreft een actualisatie van de vorige beleidsperiode, waaraan een uitgebreide evaluatie vooraf is gegaan. </w:t>
            </w:r>
            <w:r w:rsidR="0084586F">
              <w:rPr>
                <w:rFonts w:ascii="Tahoma" w:hAnsi="Tahoma" w:cs="Tahoma"/>
                <w:sz w:val="20"/>
                <w:szCs w:val="20"/>
              </w:rPr>
              <w:t>Er is in de huidige uitvoering nauwe samenwerking tussen gemeente en maatschappelijke partners GGD, kinderopvang en primair onderwijs. Dit zetten wij de komende jaren voort.</w:t>
            </w:r>
          </w:p>
          <w:p w14:paraId="77A25F0C" w14:textId="4BE0F957" w:rsidR="00330C63" w:rsidRDefault="00330C63" w:rsidP="00330C63">
            <w:pPr>
              <w:rPr>
                <w:rFonts w:ascii="Tahoma" w:hAnsi="Tahoma" w:cs="Tahoma"/>
                <w:sz w:val="20"/>
                <w:szCs w:val="20"/>
              </w:rPr>
            </w:pPr>
          </w:p>
        </w:tc>
      </w:tr>
      <w:tr w:rsidR="00330C63" w:rsidRPr="00306DA6" w14:paraId="37A08329" w14:textId="77777777" w:rsidTr="0084586F">
        <w:tc>
          <w:tcPr>
            <w:tcW w:w="703" w:type="dxa"/>
          </w:tcPr>
          <w:p w14:paraId="521F30FC" w14:textId="2A3CBEB1" w:rsidR="00330C63" w:rsidRDefault="0084586F" w:rsidP="00330C63">
            <w:pPr>
              <w:rPr>
                <w:rFonts w:ascii="Tahoma" w:hAnsi="Tahoma" w:cs="Tahoma"/>
                <w:sz w:val="20"/>
                <w:szCs w:val="20"/>
              </w:rPr>
            </w:pPr>
            <w:r>
              <w:rPr>
                <w:rFonts w:ascii="Tahoma" w:hAnsi="Tahoma" w:cs="Tahoma"/>
                <w:sz w:val="20"/>
                <w:szCs w:val="20"/>
              </w:rPr>
              <w:t>4.</w:t>
            </w:r>
          </w:p>
        </w:tc>
        <w:tc>
          <w:tcPr>
            <w:tcW w:w="2458" w:type="dxa"/>
          </w:tcPr>
          <w:p w14:paraId="11A723CB" w14:textId="3A275A4C" w:rsidR="00330C63" w:rsidRPr="00B92623" w:rsidRDefault="00330C63" w:rsidP="00330C63">
            <w:pPr>
              <w:rPr>
                <w:rFonts w:ascii="Tahoma" w:hAnsi="Tahoma" w:cs="Tahoma"/>
                <w:b/>
                <w:sz w:val="18"/>
                <w:szCs w:val="18"/>
              </w:rPr>
            </w:pPr>
          </w:p>
        </w:tc>
        <w:tc>
          <w:tcPr>
            <w:tcW w:w="4772" w:type="dxa"/>
          </w:tcPr>
          <w:p w14:paraId="5414D9F8" w14:textId="45F7C00F" w:rsidR="00330C63" w:rsidRDefault="0084586F" w:rsidP="00330C63">
            <w:pPr>
              <w:rPr>
                <w:rFonts w:ascii="Tahoma" w:hAnsi="Tahoma" w:cs="Tahoma"/>
                <w:sz w:val="20"/>
                <w:szCs w:val="20"/>
              </w:rPr>
            </w:pPr>
            <w:r w:rsidRPr="004F39EC">
              <w:rPr>
                <w:rFonts w:ascii="Tahoma" w:hAnsi="Tahoma" w:cs="Tahoma"/>
                <w:sz w:val="20"/>
                <w:szCs w:val="20"/>
              </w:rPr>
              <w:t>Concretiseer ambities in kwantitatieve doelstellingen en bouw evaluatiemomenten voor tussentijdse bijstelling van beleid.</w:t>
            </w:r>
          </w:p>
        </w:tc>
        <w:tc>
          <w:tcPr>
            <w:tcW w:w="6061" w:type="dxa"/>
          </w:tcPr>
          <w:p w14:paraId="3EFAD3EA" w14:textId="69F46B67" w:rsidR="00330C63" w:rsidRDefault="004F39EC" w:rsidP="00330C63">
            <w:pPr>
              <w:rPr>
                <w:rFonts w:ascii="Tahoma" w:hAnsi="Tahoma" w:cs="Tahoma"/>
                <w:sz w:val="20"/>
                <w:szCs w:val="20"/>
              </w:rPr>
            </w:pPr>
            <w:r>
              <w:rPr>
                <w:rFonts w:ascii="Tahoma" w:hAnsi="Tahoma" w:cs="Tahoma"/>
                <w:sz w:val="20"/>
                <w:szCs w:val="20"/>
              </w:rPr>
              <w:t xml:space="preserve">De acties zijn uitwerkingen van de doelstellingen, en kwantificeerbaar. Ieder jaar is er een evaluatie-moment middels de VVE monitor rapportage. </w:t>
            </w:r>
          </w:p>
        </w:tc>
      </w:tr>
      <w:tr w:rsidR="00330C63" w:rsidRPr="00306DA6" w14:paraId="14511D3D" w14:textId="77777777" w:rsidTr="0084586F">
        <w:tc>
          <w:tcPr>
            <w:tcW w:w="703" w:type="dxa"/>
          </w:tcPr>
          <w:p w14:paraId="23D49CDB" w14:textId="77777777" w:rsidR="00330C63" w:rsidRPr="00EA5571" w:rsidRDefault="00330C63" w:rsidP="00330C63">
            <w:pPr>
              <w:rPr>
                <w:rFonts w:ascii="Tahoma" w:hAnsi="Tahoma" w:cs="Tahoma"/>
                <w:b/>
                <w:sz w:val="20"/>
                <w:szCs w:val="20"/>
              </w:rPr>
            </w:pPr>
          </w:p>
        </w:tc>
        <w:tc>
          <w:tcPr>
            <w:tcW w:w="2458" w:type="dxa"/>
          </w:tcPr>
          <w:p w14:paraId="2E9232AF" w14:textId="20059BFF" w:rsidR="00330C63" w:rsidRPr="00EA5571" w:rsidRDefault="00330C63" w:rsidP="00330C63">
            <w:pPr>
              <w:rPr>
                <w:rFonts w:ascii="Tahoma" w:hAnsi="Tahoma" w:cs="Tahoma"/>
                <w:b/>
                <w:sz w:val="20"/>
                <w:szCs w:val="20"/>
              </w:rPr>
            </w:pPr>
          </w:p>
        </w:tc>
        <w:tc>
          <w:tcPr>
            <w:tcW w:w="4772" w:type="dxa"/>
          </w:tcPr>
          <w:p w14:paraId="39AF3519" w14:textId="3F9D4E9D" w:rsidR="00330C63" w:rsidRDefault="0084586F" w:rsidP="00330C63">
            <w:pPr>
              <w:rPr>
                <w:rFonts w:ascii="Tahoma" w:hAnsi="Tahoma" w:cs="Tahoma"/>
                <w:sz w:val="20"/>
                <w:szCs w:val="20"/>
              </w:rPr>
            </w:pPr>
            <w:r>
              <w:rPr>
                <w:rFonts w:ascii="Tahoma" w:hAnsi="Tahoma" w:cs="Tahoma"/>
                <w:sz w:val="20"/>
                <w:szCs w:val="20"/>
              </w:rPr>
              <w:t>Verwacht het college een toename of afname van 57 kinderen afgelopen jaar?</w:t>
            </w:r>
          </w:p>
        </w:tc>
        <w:tc>
          <w:tcPr>
            <w:tcW w:w="6061" w:type="dxa"/>
          </w:tcPr>
          <w:p w14:paraId="1194CB8A" w14:textId="65747444" w:rsidR="00330C63" w:rsidRDefault="003452FD" w:rsidP="00330C63">
            <w:pPr>
              <w:rPr>
                <w:rFonts w:ascii="Tahoma" w:hAnsi="Tahoma" w:cs="Tahoma"/>
                <w:sz w:val="20"/>
                <w:szCs w:val="20"/>
              </w:rPr>
            </w:pPr>
            <w:r>
              <w:rPr>
                <w:rFonts w:ascii="Tahoma" w:hAnsi="Tahoma" w:cs="Tahoma"/>
                <w:sz w:val="20"/>
                <w:szCs w:val="20"/>
              </w:rPr>
              <w:t xml:space="preserve">Wij verwachten een vergelijkbaar aantal doelgroepkinderen. De doelgroep wordt gebaseerd op voornamelijk gezinskenmerken die </w:t>
            </w:r>
            <w:proofErr w:type="spellStart"/>
            <w:r>
              <w:rPr>
                <w:rFonts w:ascii="Tahoma" w:hAnsi="Tahoma" w:cs="Tahoma"/>
                <w:sz w:val="20"/>
                <w:szCs w:val="20"/>
              </w:rPr>
              <w:t>meestens</w:t>
            </w:r>
            <w:proofErr w:type="spellEnd"/>
            <w:r>
              <w:rPr>
                <w:rFonts w:ascii="Tahoma" w:hAnsi="Tahoma" w:cs="Tahoma"/>
                <w:sz w:val="20"/>
                <w:szCs w:val="20"/>
              </w:rPr>
              <w:t xml:space="preserve"> onveranderlijk zijn. </w:t>
            </w:r>
          </w:p>
        </w:tc>
      </w:tr>
      <w:tr w:rsidR="00330C63" w:rsidRPr="00306DA6" w14:paraId="4C77F2A3" w14:textId="77777777" w:rsidTr="0084586F">
        <w:tc>
          <w:tcPr>
            <w:tcW w:w="703" w:type="dxa"/>
          </w:tcPr>
          <w:p w14:paraId="06DB782B" w14:textId="0B8A663D" w:rsidR="00330C63" w:rsidRDefault="00330C63" w:rsidP="00330C63">
            <w:pPr>
              <w:rPr>
                <w:rFonts w:ascii="Tahoma" w:hAnsi="Tahoma" w:cs="Tahoma"/>
                <w:sz w:val="20"/>
                <w:szCs w:val="20"/>
              </w:rPr>
            </w:pPr>
          </w:p>
        </w:tc>
        <w:tc>
          <w:tcPr>
            <w:tcW w:w="2458" w:type="dxa"/>
          </w:tcPr>
          <w:p w14:paraId="2C9DB648" w14:textId="76F3CF26" w:rsidR="00330C63" w:rsidRPr="009D5965" w:rsidRDefault="00330C63" w:rsidP="00330C63">
            <w:pPr>
              <w:rPr>
                <w:rFonts w:ascii="Tahoma" w:hAnsi="Tahoma" w:cs="Tahoma"/>
                <w:b/>
                <w:sz w:val="18"/>
                <w:szCs w:val="18"/>
              </w:rPr>
            </w:pPr>
          </w:p>
        </w:tc>
        <w:tc>
          <w:tcPr>
            <w:tcW w:w="4772" w:type="dxa"/>
          </w:tcPr>
          <w:p w14:paraId="3966A586" w14:textId="0FFFE0B6" w:rsidR="00330C63" w:rsidRDefault="0084586F" w:rsidP="00330C63">
            <w:pPr>
              <w:rPr>
                <w:rFonts w:ascii="Tahoma" w:hAnsi="Tahoma" w:cs="Tahoma"/>
                <w:sz w:val="20"/>
                <w:szCs w:val="20"/>
              </w:rPr>
            </w:pPr>
            <w:r w:rsidRPr="005A50FD">
              <w:rPr>
                <w:rFonts w:ascii="Tahoma" w:hAnsi="Tahoma" w:cs="Tahoma"/>
                <w:sz w:val="20"/>
                <w:szCs w:val="20"/>
              </w:rPr>
              <w:t>Neem cijfers op over het aantal kinderen dat gebruik maakt en/of naar verwachting zal gaan maken van VVE.</w:t>
            </w:r>
          </w:p>
        </w:tc>
        <w:tc>
          <w:tcPr>
            <w:tcW w:w="6061" w:type="dxa"/>
          </w:tcPr>
          <w:p w14:paraId="31E8D674" w14:textId="363D9F8E" w:rsidR="00330C63" w:rsidRDefault="005A50FD" w:rsidP="00330C63">
            <w:pPr>
              <w:rPr>
                <w:rFonts w:ascii="Tahoma" w:hAnsi="Tahoma" w:cs="Tahoma"/>
                <w:sz w:val="20"/>
                <w:szCs w:val="20"/>
              </w:rPr>
            </w:pPr>
            <w:r>
              <w:rPr>
                <w:rFonts w:ascii="Tahoma" w:hAnsi="Tahoma" w:cs="Tahoma"/>
                <w:sz w:val="20"/>
                <w:szCs w:val="20"/>
              </w:rPr>
              <w:t>Deze aanbeveling is verwerkt in het tweede concept.</w:t>
            </w:r>
          </w:p>
        </w:tc>
      </w:tr>
      <w:tr w:rsidR="00330C63" w:rsidRPr="00306DA6" w14:paraId="3077198C" w14:textId="77777777" w:rsidTr="0084586F">
        <w:tc>
          <w:tcPr>
            <w:tcW w:w="703" w:type="dxa"/>
          </w:tcPr>
          <w:p w14:paraId="30A43088" w14:textId="6AEF0C1F" w:rsidR="00330C63" w:rsidRDefault="0084586F" w:rsidP="00330C63">
            <w:pPr>
              <w:rPr>
                <w:rFonts w:ascii="Tahoma" w:hAnsi="Tahoma" w:cs="Tahoma"/>
                <w:sz w:val="20"/>
                <w:szCs w:val="20"/>
              </w:rPr>
            </w:pPr>
            <w:r>
              <w:rPr>
                <w:rFonts w:ascii="Tahoma" w:hAnsi="Tahoma" w:cs="Tahoma"/>
                <w:sz w:val="20"/>
                <w:szCs w:val="20"/>
              </w:rPr>
              <w:t>5.</w:t>
            </w:r>
          </w:p>
        </w:tc>
        <w:tc>
          <w:tcPr>
            <w:tcW w:w="2458" w:type="dxa"/>
          </w:tcPr>
          <w:p w14:paraId="25E698AA" w14:textId="794A9252" w:rsidR="00330C63" w:rsidRPr="009D5965" w:rsidRDefault="00330C63" w:rsidP="00330C63">
            <w:pPr>
              <w:rPr>
                <w:rFonts w:ascii="Tahoma" w:hAnsi="Tahoma" w:cs="Tahoma"/>
                <w:b/>
                <w:sz w:val="18"/>
                <w:szCs w:val="18"/>
              </w:rPr>
            </w:pPr>
          </w:p>
        </w:tc>
        <w:tc>
          <w:tcPr>
            <w:tcW w:w="4772" w:type="dxa"/>
          </w:tcPr>
          <w:p w14:paraId="1A7B81A2" w14:textId="3726A9B8" w:rsidR="00330C63" w:rsidRDefault="0084586F" w:rsidP="00330C63">
            <w:pPr>
              <w:rPr>
                <w:rFonts w:ascii="Tahoma" w:hAnsi="Tahoma" w:cs="Tahoma"/>
                <w:sz w:val="20"/>
                <w:szCs w:val="20"/>
              </w:rPr>
            </w:pPr>
            <w:r>
              <w:rPr>
                <w:rFonts w:ascii="Tahoma" w:hAnsi="Tahoma" w:cs="Tahoma"/>
                <w:sz w:val="20"/>
                <w:szCs w:val="20"/>
              </w:rPr>
              <w:t>Betrek leerkrachten bij de beoordeling van output en de kwaliteit van VVE.</w:t>
            </w:r>
            <w:r w:rsidR="00330C63">
              <w:rPr>
                <w:rFonts w:ascii="Tahoma" w:hAnsi="Tahoma" w:cs="Tahoma"/>
                <w:sz w:val="20"/>
                <w:szCs w:val="20"/>
              </w:rPr>
              <w:t xml:space="preserve"> </w:t>
            </w:r>
          </w:p>
        </w:tc>
        <w:tc>
          <w:tcPr>
            <w:tcW w:w="6061" w:type="dxa"/>
          </w:tcPr>
          <w:p w14:paraId="0F28EF75" w14:textId="12C8CD79" w:rsidR="00330C63" w:rsidRDefault="0084586F" w:rsidP="00330C63">
            <w:pPr>
              <w:rPr>
                <w:rFonts w:ascii="Tahoma" w:hAnsi="Tahoma" w:cs="Tahoma"/>
                <w:sz w:val="20"/>
                <w:szCs w:val="20"/>
              </w:rPr>
            </w:pPr>
            <w:r>
              <w:rPr>
                <w:rFonts w:ascii="Tahoma" w:hAnsi="Tahoma" w:cs="Tahoma"/>
                <w:sz w:val="20"/>
                <w:szCs w:val="20"/>
              </w:rPr>
              <w:t xml:space="preserve">De gemeente ondersteunt bij de kwaliteit van VVE door de inzet van een deskundige van de CED-groep, de kinderopvang is zelf verantwoordelijk voor kwaliteit door te werken met een pedagogisch beleidsplan en een </w:t>
            </w:r>
            <w:proofErr w:type="spellStart"/>
            <w:r>
              <w:rPr>
                <w:rFonts w:ascii="Tahoma" w:hAnsi="Tahoma" w:cs="Tahoma"/>
                <w:sz w:val="20"/>
                <w:szCs w:val="20"/>
              </w:rPr>
              <w:t>HBO’er</w:t>
            </w:r>
            <w:proofErr w:type="spellEnd"/>
            <w:r>
              <w:rPr>
                <w:rFonts w:ascii="Tahoma" w:hAnsi="Tahoma" w:cs="Tahoma"/>
                <w:sz w:val="20"/>
                <w:szCs w:val="20"/>
              </w:rPr>
              <w:t xml:space="preserve"> op de groep die </w:t>
            </w:r>
            <w:r w:rsidR="006B1572">
              <w:rPr>
                <w:rFonts w:ascii="Tahoma" w:hAnsi="Tahoma" w:cs="Tahoma"/>
                <w:sz w:val="20"/>
                <w:szCs w:val="20"/>
              </w:rPr>
              <w:t>pedagogische medewerkers</w:t>
            </w:r>
            <w:r>
              <w:rPr>
                <w:rFonts w:ascii="Tahoma" w:hAnsi="Tahoma" w:cs="Tahoma"/>
                <w:sz w:val="20"/>
                <w:szCs w:val="20"/>
              </w:rPr>
              <w:t xml:space="preserve"> </w:t>
            </w:r>
            <w:r w:rsidR="006B1572">
              <w:rPr>
                <w:rFonts w:ascii="Tahoma" w:hAnsi="Tahoma" w:cs="Tahoma"/>
                <w:sz w:val="20"/>
                <w:szCs w:val="20"/>
              </w:rPr>
              <w:t>begeleidt op de werkplek</w:t>
            </w:r>
            <w:r>
              <w:rPr>
                <w:rFonts w:ascii="Tahoma" w:hAnsi="Tahoma" w:cs="Tahoma"/>
                <w:sz w:val="20"/>
                <w:szCs w:val="20"/>
              </w:rPr>
              <w:t xml:space="preserve">. Daarnaast volgen GGD, kinderopvang en primair onderwijs gezamenlijk de output (en daarmee kwaliteit) van VVE middels een monitor. </w:t>
            </w:r>
          </w:p>
        </w:tc>
      </w:tr>
      <w:tr w:rsidR="00330C63" w:rsidRPr="00306DA6" w14:paraId="7482012E" w14:textId="77777777" w:rsidTr="0084586F">
        <w:tc>
          <w:tcPr>
            <w:tcW w:w="703" w:type="dxa"/>
          </w:tcPr>
          <w:p w14:paraId="641BD29E" w14:textId="3850FA1B" w:rsidR="00330C63" w:rsidRDefault="0084586F" w:rsidP="00330C63">
            <w:pPr>
              <w:rPr>
                <w:rFonts w:ascii="Tahoma" w:hAnsi="Tahoma" w:cs="Tahoma"/>
                <w:sz w:val="20"/>
                <w:szCs w:val="20"/>
              </w:rPr>
            </w:pPr>
            <w:r>
              <w:rPr>
                <w:rFonts w:ascii="Tahoma" w:hAnsi="Tahoma" w:cs="Tahoma"/>
                <w:sz w:val="20"/>
                <w:szCs w:val="20"/>
              </w:rPr>
              <w:t>6.</w:t>
            </w:r>
          </w:p>
        </w:tc>
        <w:tc>
          <w:tcPr>
            <w:tcW w:w="2458" w:type="dxa"/>
          </w:tcPr>
          <w:p w14:paraId="1A6BF189" w14:textId="77777777" w:rsidR="00330C63" w:rsidRDefault="00330C63" w:rsidP="00330C63">
            <w:pPr>
              <w:rPr>
                <w:rFonts w:ascii="Tahoma" w:hAnsi="Tahoma" w:cs="Tahoma"/>
                <w:sz w:val="20"/>
                <w:szCs w:val="20"/>
              </w:rPr>
            </w:pPr>
          </w:p>
        </w:tc>
        <w:tc>
          <w:tcPr>
            <w:tcW w:w="4772" w:type="dxa"/>
          </w:tcPr>
          <w:p w14:paraId="3A1DCB18" w14:textId="2BA2F808" w:rsidR="00330C63" w:rsidRDefault="0084586F" w:rsidP="00330C63">
            <w:pPr>
              <w:rPr>
                <w:rFonts w:ascii="Tahoma" w:hAnsi="Tahoma" w:cs="Tahoma"/>
                <w:sz w:val="20"/>
                <w:szCs w:val="20"/>
              </w:rPr>
            </w:pPr>
            <w:r>
              <w:rPr>
                <w:rFonts w:ascii="Tahoma" w:hAnsi="Tahoma" w:cs="Tahoma"/>
                <w:sz w:val="20"/>
                <w:szCs w:val="20"/>
              </w:rPr>
              <w:t>Krijgen alle kinderen die geïndiceerd worden voor VVE dit aangeboden in de eigen omgeving?</w:t>
            </w:r>
          </w:p>
        </w:tc>
        <w:tc>
          <w:tcPr>
            <w:tcW w:w="6061" w:type="dxa"/>
          </w:tcPr>
          <w:p w14:paraId="240525A5" w14:textId="29EE9F8D" w:rsidR="00330C63" w:rsidRDefault="0084586F" w:rsidP="00330C63">
            <w:pPr>
              <w:rPr>
                <w:rFonts w:ascii="Tahoma" w:hAnsi="Tahoma" w:cs="Tahoma"/>
                <w:sz w:val="20"/>
                <w:szCs w:val="20"/>
              </w:rPr>
            </w:pPr>
            <w:r>
              <w:rPr>
                <w:rFonts w:ascii="Tahoma" w:hAnsi="Tahoma" w:cs="Tahoma"/>
                <w:sz w:val="20"/>
                <w:szCs w:val="20"/>
              </w:rPr>
              <w:t xml:space="preserve">Helaas is dat niet het geval. Om open marktwerking te garanderen werken wij via aanbesteding. Op dit moment is Stichting Kinderopvang De Bilt de enige aanbieder, en </w:t>
            </w:r>
            <w:r w:rsidR="001152A4">
              <w:rPr>
                <w:rFonts w:ascii="Tahoma" w:hAnsi="Tahoma" w:cs="Tahoma"/>
                <w:sz w:val="20"/>
                <w:szCs w:val="20"/>
              </w:rPr>
              <w:t>deze aanbieder heeft geen peuter- of kinderopvang in de kleine kernen.</w:t>
            </w:r>
            <w:r w:rsidR="00330C63">
              <w:rPr>
                <w:rFonts w:ascii="Tahoma" w:hAnsi="Tahoma" w:cs="Tahoma"/>
                <w:sz w:val="20"/>
                <w:szCs w:val="20"/>
              </w:rPr>
              <w:t xml:space="preserve"> </w:t>
            </w:r>
          </w:p>
        </w:tc>
      </w:tr>
      <w:tr w:rsidR="00330C63" w:rsidRPr="00306DA6" w14:paraId="3099570F" w14:textId="77777777" w:rsidTr="0084586F">
        <w:tc>
          <w:tcPr>
            <w:tcW w:w="703" w:type="dxa"/>
          </w:tcPr>
          <w:p w14:paraId="3A744489" w14:textId="0933B78F" w:rsidR="00330C63" w:rsidRDefault="001152A4" w:rsidP="00330C63">
            <w:pPr>
              <w:rPr>
                <w:rFonts w:ascii="Tahoma" w:hAnsi="Tahoma" w:cs="Tahoma"/>
                <w:sz w:val="20"/>
                <w:szCs w:val="20"/>
              </w:rPr>
            </w:pPr>
            <w:r>
              <w:rPr>
                <w:rFonts w:ascii="Tahoma" w:hAnsi="Tahoma" w:cs="Tahoma"/>
                <w:sz w:val="20"/>
                <w:szCs w:val="20"/>
              </w:rPr>
              <w:t>7.</w:t>
            </w:r>
          </w:p>
        </w:tc>
        <w:tc>
          <w:tcPr>
            <w:tcW w:w="2458" w:type="dxa"/>
          </w:tcPr>
          <w:p w14:paraId="19761B4E" w14:textId="75A0AFFA" w:rsidR="00330C63" w:rsidRDefault="00330C63" w:rsidP="00330C63">
            <w:pPr>
              <w:rPr>
                <w:rFonts w:ascii="Tahoma" w:hAnsi="Tahoma" w:cs="Tahoma"/>
                <w:sz w:val="20"/>
                <w:szCs w:val="20"/>
              </w:rPr>
            </w:pPr>
          </w:p>
        </w:tc>
        <w:tc>
          <w:tcPr>
            <w:tcW w:w="4772" w:type="dxa"/>
          </w:tcPr>
          <w:p w14:paraId="63024983" w14:textId="29A0ED0F" w:rsidR="00330C63" w:rsidRDefault="001152A4" w:rsidP="00330C63">
            <w:pPr>
              <w:rPr>
                <w:rFonts w:ascii="Tahoma" w:hAnsi="Tahoma" w:cs="Tahoma"/>
                <w:sz w:val="20"/>
                <w:szCs w:val="20"/>
              </w:rPr>
            </w:pPr>
            <w:r>
              <w:rPr>
                <w:rFonts w:ascii="Tahoma" w:hAnsi="Tahoma" w:cs="Tahoma"/>
                <w:sz w:val="20"/>
                <w:szCs w:val="20"/>
              </w:rPr>
              <w:t>Besteed in de nota aandacht aan preventie.</w:t>
            </w:r>
          </w:p>
        </w:tc>
        <w:tc>
          <w:tcPr>
            <w:tcW w:w="6061" w:type="dxa"/>
          </w:tcPr>
          <w:p w14:paraId="69CB200C" w14:textId="01C58ED4" w:rsidR="00330C63" w:rsidRDefault="001152A4" w:rsidP="00330C63">
            <w:pPr>
              <w:rPr>
                <w:rFonts w:ascii="Tahoma" w:hAnsi="Tahoma" w:cs="Tahoma"/>
                <w:sz w:val="20"/>
                <w:szCs w:val="20"/>
              </w:rPr>
            </w:pPr>
            <w:r>
              <w:rPr>
                <w:rFonts w:ascii="Tahoma" w:hAnsi="Tahoma" w:cs="Tahoma"/>
                <w:sz w:val="20"/>
                <w:szCs w:val="20"/>
              </w:rPr>
              <w:t>Het gehele beleid is gericht op preventie, vanaf het moment dat het verschil gemaakt kan worden met taalaanbod op een opvanglocatie. Aangezien bepaalde (onveranderlijke) gezinskenmerken onderliggend zijn als oorzaak van de mogelijke taalachterstand, is hier geen verdere preventie op in te zetten.</w:t>
            </w:r>
          </w:p>
        </w:tc>
      </w:tr>
      <w:tr w:rsidR="00330C63" w:rsidRPr="00306DA6" w14:paraId="365D140A" w14:textId="77777777" w:rsidTr="0084586F">
        <w:tc>
          <w:tcPr>
            <w:tcW w:w="703" w:type="dxa"/>
          </w:tcPr>
          <w:p w14:paraId="05ADA71B" w14:textId="34B2071B" w:rsidR="00330C63" w:rsidRDefault="001152A4" w:rsidP="00330C63">
            <w:pPr>
              <w:rPr>
                <w:rFonts w:ascii="Tahoma" w:hAnsi="Tahoma" w:cs="Tahoma"/>
                <w:sz w:val="20"/>
                <w:szCs w:val="20"/>
              </w:rPr>
            </w:pPr>
            <w:r>
              <w:rPr>
                <w:rFonts w:ascii="Tahoma" w:hAnsi="Tahoma" w:cs="Tahoma"/>
                <w:sz w:val="20"/>
                <w:szCs w:val="20"/>
              </w:rPr>
              <w:t>8.</w:t>
            </w:r>
          </w:p>
        </w:tc>
        <w:tc>
          <w:tcPr>
            <w:tcW w:w="2458" w:type="dxa"/>
          </w:tcPr>
          <w:p w14:paraId="71F06350" w14:textId="2CC7688F" w:rsidR="00330C63" w:rsidRDefault="00330C63" w:rsidP="00330C63">
            <w:pPr>
              <w:rPr>
                <w:rFonts w:ascii="Tahoma" w:hAnsi="Tahoma" w:cs="Tahoma"/>
                <w:sz w:val="20"/>
                <w:szCs w:val="20"/>
              </w:rPr>
            </w:pPr>
          </w:p>
        </w:tc>
        <w:tc>
          <w:tcPr>
            <w:tcW w:w="4772" w:type="dxa"/>
          </w:tcPr>
          <w:p w14:paraId="2E1EF038" w14:textId="52046AE4" w:rsidR="00330C63" w:rsidRDefault="001152A4" w:rsidP="00330C63">
            <w:pPr>
              <w:rPr>
                <w:rFonts w:ascii="Tahoma" w:hAnsi="Tahoma" w:cs="Tahoma"/>
                <w:sz w:val="20"/>
                <w:szCs w:val="20"/>
              </w:rPr>
            </w:pPr>
            <w:r>
              <w:rPr>
                <w:rFonts w:ascii="Tahoma" w:hAnsi="Tahoma" w:cs="Tahoma"/>
                <w:sz w:val="20"/>
                <w:szCs w:val="20"/>
              </w:rPr>
              <w:t>Wie kan een beroep doen op de hardheidsclausule? Wie legt dit voor aan het college? Op welke grond wordt gehonoreerd c.q. afgewezen?</w:t>
            </w:r>
            <w:r w:rsidR="00330C63">
              <w:rPr>
                <w:rFonts w:ascii="Tahoma" w:hAnsi="Tahoma" w:cs="Tahoma"/>
                <w:sz w:val="20"/>
                <w:szCs w:val="20"/>
              </w:rPr>
              <w:t xml:space="preserve"> </w:t>
            </w:r>
          </w:p>
        </w:tc>
        <w:tc>
          <w:tcPr>
            <w:tcW w:w="6061" w:type="dxa"/>
          </w:tcPr>
          <w:p w14:paraId="73F26D6E" w14:textId="602894C2" w:rsidR="001152A4" w:rsidRDefault="001152A4" w:rsidP="00330C63">
            <w:pPr>
              <w:rPr>
                <w:rFonts w:ascii="Tahoma" w:hAnsi="Tahoma" w:cs="Tahoma"/>
                <w:sz w:val="20"/>
                <w:szCs w:val="20"/>
              </w:rPr>
            </w:pPr>
            <w:r>
              <w:rPr>
                <w:rFonts w:ascii="Tahoma" w:hAnsi="Tahoma" w:cs="Tahoma"/>
                <w:sz w:val="20"/>
                <w:szCs w:val="20"/>
              </w:rPr>
              <w:t>De twee belangrijkste maatschappelijke partners, zijnde de GGD die de indicatie stelt en de kinderopvangorganisatie die de VVE uitvoert, kunnen een beroep doen op de hardheidsclausule. Dit zal via de verantwoordelijke beleidsmedewerker worden voorgelegd aan het college. Deze neemt de inhoudelijke argumentatie en mogelijk financiële consequenties in overweging en neemt hierna een beslissing.</w:t>
            </w:r>
          </w:p>
        </w:tc>
      </w:tr>
    </w:tbl>
    <w:p w14:paraId="3EF133B1" w14:textId="77777777" w:rsidR="002F2BA6" w:rsidRPr="00306DA6" w:rsidRDefault="002F2BA6">
      <w:pPr>
        <w:rPr>
          <w:rFonts w:ascii="Tahoma" w:hAnsi="Tahoma" w:cs="Tahoma"/>
          <w:sz w:val="20"/>
          <w:szCs w:val="20"/>
        </w:rPr>
      </w:pPr>
    </w:p>
    <w:sectPr w:rsidR="002F2BA6" w:rsidRPr="00306DA6" w:rsidSect="00306D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A6"/>
    <w:rsid w:val="00047408"/>
    <w:rsid w:val="001152A4"/>
    <w:rsid w:val="002F2BA6"/>
    <w:rsid w:val="00306DA6"/>
    <w:rsid w:val="00330C63"/>
    <w:rsid w:val="003452FD"/>
    <w:rsid w:val="004F39EC"/>
    <w:rsid w:val="005A50FD"/>
    <w:rsid w:val="005C6A11"/>
    <w:rsid w:val="0063220F"/>
    <w:rsid w:val="006B1572"/>
    <w:rsid w:val="00793260"/>
    <w:rsid w:val="007C6794"/>
    <w:rsid w:val="0084586F"/>
    <w:rsid w:val="009D194D"/>
    <w:rsid w:val="009D5965"/>
    <w:rsid w:val="009F65C0"/>
    <w:rsid w:val="00A145A5"/>
    <w:rsid w:val="00A3766D"/>
    <w:rsid w:val="00A436D4"/>
    <w:rsid w:val="00A71653"/>
    <w:rsid w:val="00B92623"/>
    <w:rsid w:val="00BB5200"/>
    <w:rsid w:val="00BF2A69"/>
    <w:rsid w:val="00D64C73"/>
    <w:rsid w:val="00E62BC6"/>
    <w:rsid w:val="00E979DA"/>
    <w:rsid w:val="00EA5571"/>
    <w:rsid w:val="00F060CE"/>
    <w:rsid w:val="00F36458"/>
    <w:rsid w:val="00FF7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8F43"/>
  <w15:chartTrackingRefBased/>
  <w15:docId w15:val="{754D7FDF-B35E-4DF4-9F69-E296C75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0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F2A69"/>
    <w:rPr>
      <w:sz w:val="16"/>
      <w:szCs w:val="16"/>
    </w:rPr>
  </w:style>
  <w:style w:type="paragraph" w:styleId="Tekstopmerking">
    <w:name w:val="annotation text"/>
    <w:basedOn w:val="Standaard"/>
    <w:link w:val="TekstopmerkingChar"/>
    <w:uiPriority w:val="99"/>
    <w:semiHidden/>
    <w:unhideWhenUsed/>
    <w:rsid w:val="00BF2A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2A69"/>
    <w:rPr>
      <w:sz w:val="20"/>
      <w:szCs w:val="20"/>
    </w:rPr>
  </w:style>
  <w:style w:type="paragraph" w:styleId="Onderwerpvanopmerking">
    <w:name w:val="annotation subject"/>
    <w:basedOn w:val="Tekstopmerking"/>
    <w:next w:val="Tekstopmerking"/>
    <w:link w:val="OnderwerpvanopmerkingChar"/>
    <w:uiPriority w:val="99"/>
    <w:semiHidden/>
    <w:unhideWhenUsed/>
    <w:rsid w:val="00BF2A69"/>
    <w:rPr>
      <w:b/>
      <w:bCs/>
    </w:rPr>
  </w:style>
  <w:style w:type="character" w:customStyle="1" w:styleId="OnderwerpvanopmerkingChar">
    <w:name w:val="Onderwerp van opmerking Char"/>
    <w:basedOn w:val="TekstopmerkingChar"/>
    <w:link w:val="Onderwerpvanopmerking"/>
    <w:uiPriority w:val="99"/>
    <w:semiHidden/>
    <w:rsid w:val="00BF2A69"/>
    <w:rPr>
      <w:b/>
      <w:bCs/>
      <w:sz w:val="20"/>
      <w:szCs w:val="20"/>
    </w:rPr>
  </w:style>
  <w:style w:type="paragraph" w:styleId="Ballontekst">
    <w:name w:val="Balloon Text"/>
    <w:basedOn w:val="Standaard"/>
    <w:link w:val="BallontekstChar"/>
    <w:uiPriority w:val="99"/>
    <w:semiHidden/>
    <w:unhideWhenUsed/>
    <w:rsid w:val="00BF2A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0FE7-100E-4293-95FA-5AE41753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Tolinda de Vries</dc:creator>
  <cp:keywords/>
  <dc:description/>
  <cp:lastModifiedBy>Janssen, Daniëlle</cp:lastModifiedBy>
  <cp:revision>2</cp:revision>
  <dcterms:created xsi:type="dcterms:W3CDTF">2021-04-07T13:17:00Z</dcterms:created>
  <dcterms:modified xsi:type="dcterms:W3CDTF">2021-04-07T13:17:00Z</dcterms:modified>
</cp:coreProperties>
</file>